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47.767/2025</w:t>
      </w:r>
      <w:r>
        <w:rPr>
          <w:rFonts w:ascii="Arial" w:hAnsi="Arial" w:cs="Arial"/>
          <w:b/>
          <w:bCs/>
          <w:sz w:val="22"/>
          <w:szCs w:val="22"/>
          <w:highlight w:val="none"/>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90.051/2026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w:t>
      </w:r>
      <w:r>
        <w:rPr>
          <w:rFonts w:hint="default" w:ascii="Arial" w:hAnsi="Arial" w:cs="Arial"/>
          <w:bCs/>
          <w:iCs/>
          <w:lang w:val="pt-BR"/>
        </w:rPr>
        <w:t xml:space="preserve"> </w:t>
      </w:r>
      <w:r>
        <w:rPr>
          <w:rFonts w:ascii="Arial" w:hAnsi="Arial" w:cs="Arial"/>
          <w:b/>
          <w:bCs w:val="0"/>
          <w:iCs/>
          <w:lang w:val="pt-BR" w:eastAsia="pt-BR"/>
        </w:rPr>
        <w:t>CONTRATAÇÃO DE EMPRESA ESPECIALIZADA PARA O FORNECIMENTO DE INSUMOS RADIOLÓGICOS, PARA ATENDER AS NECESSIDADES DO HOSPITAL MUNICIPAL RAUL SERTÃ</w:t>
      </w:r>
      <w:r>
        <w:rPr>
          <w:rFonts w:ascii="Arial" w:hAnsi="Arial" w:cs="Arial"/>
          <w:bCs/>
          <w:iCs/>
        </w:rPr>
        <w:t>,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tabs>
          <w:tab w:val="left" w:pos="426"/>
        </w:tabs>
        <w:jc w:val="center"/>
        <w:rPr>
          <w:rFonts w:ascii="Arial" w:hAnsi="Arial" w:cs="Arial"/>
          <w:b/>
          <w:bCs/>
          <w:i/>
          <w:iCs/>
          <w:color w:val="FF0000"/>
          <w:u w:val="single"/>
          <w:lang w:val="pt-BR"/>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w:t>
      </w:r>
      <w:r>
        <w:rPr>
          <w:rFonts w:hint="default" w:ascii="Arial" w:hAnsi="Arial" w:cs="Arial"/>
          <w:bCs/>
          <w:iCs/>
          <w:u w:val="single"/>
          <w:lang w:val="pt-BR"/>
        </w:rPr>
        <w:t xml:space="preserve"> MODELO DE EXECUÇÃO DO OBJETO (arts. 6º, XXIII, alínea “e” e 40, §1º, inciso II, da Lei nº 14.133/2021)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 O prazo de entrega dos bens é de </w:t>
      </w:r>
      <w:r>
        <w:rPr>
          <w:rFonts w:hint="default" w:ascii="Arial" w:hAnsi="Arial" w:cs="Arial"/>
          <w:b/>
          <w:bCs w:val="0"/>
          <w:iCs/>
          <w:lang w:val="pt-BR"/>
        </w:rPr>
        <w:t>20 (vinte) dias corridos</w:t>
      </w:r>
      <w:r>
        <w:rPr>
          <w:rFonts w:hint="default" w:ascii="Arial" w:hAnsi="Arial" w:cs="Arial"/>
          <w:bCs/>
          <w:iCs/>
          <w:lang w:val="pt-BR"/>
        </w:rPr>
        <w:t xml:space="preserve">, contados a partir do recebimento da </w:t>
      </w:r>
      <w:r>
        <w:rPr>
          <w:rFonts w:hint="default" w:ascii="Arial" w:hAnsi="Arial" w:cs="Arial"/>
          <w:b/>
          <w:bCs w:val="0"/>
          <w:iCs/>
          <w:lang w:val="pt-BR"/>
        </w:rPr>
        <w:t>Nota de Empenho,</w:t>
      </w:r>
      <w:r>
        <w:rPr>
          <w:rFonts w:hint="default" w:ascii="Arial" w:hAnsi="Arial" w:cs="Arial"/>
          <w:bCs/>
          <w:iCs/>
          <w:lang w:val="pt-BR"/>
        </w:rPr>
        <w:t xml:space="preserve"> em </w:t>
      </w:r>
      <w:r>
        <w:rPr>
          <w:rFonts w:hint="default" w:ascii="Arial" w:hAnsi="Arial" w:cs="Arial"/>
          <w:b/>
          <w:bCs w:val="0"/>
          <w:iCs/>
          <w:lang w:val="pt-BR"/>
        </w:rPr>
        <w:t>remessas parceladas</w:t>
      </w:r>
      <w:r>
        <w:rPr>
          <w:rFonts w:hint="default" w:ascii="Arial" w:hAnsi="Arial" w:cs="Arial"/>
          <w:bCs/>
          <w:iCs/>
          <w:lang w:val="pt-BR"/>
        </w:rPr>
        <w:t>, conforme a conveniência e a necessidade da Unidade Requisitante.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A Contratada deverá proceder com a entrega do objeto no local e horário arrolados abaixo, respeitando sempre o período de solicitação da Unidade Requisitante: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
          <w:bCs w:val="0"/>
          <w:iCs/>
          <w:lang w:val="pt-BR"/>
        </w:rPr>
        <w:t>Hospital Municipal Raul Sertã</w:t>
      </w:r>
      <w:r>
        <w:rPr>
          <w:rFonts w:hint="default" w:ascii="Arial" w:hAnsi="Arial" w:cs="Arial"/>
          <w:bCs/>
          <w:iCs/>
          <w:lang w:val="pt-BR"/>
        </w:rPr>
        <w:t xml:space="preserve"> – Rua General Osório, nº 324, Centro, Nova Friburgo/RJ;</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
          <w:bCs w:val="0"/>
          <w:iCs/>
          <w:lang w:val="pt-BR"/>
        </w:rPr>
        <w:t>Horário:</w:t>
      </w:r>
      <w:r>
        <w:rPr>
          <w:rFonts w:hint="default" w:ascii="Arial" w:hAnsi="Arial" w:cs="Arial"/>
          <w:bCs/>
          <w:iCs/>
          <w:lang w:val="pt-BR"/>
        </w:rPr>
        <w:t xml:space="preserve"> de segunda a sexta-feira, das </w:t>
      </w:r>
      <w:r>
        <w:rPr>
          <w:rFonts w:hint="default" w:ascii="Arial" w:hAnsi="Arial" w:cs="Arial"/>
          <w:b/>
          <w:bCs w:val="0"/>
          <w:iCs/>
          <w:lang w:val="pt-BR"/>
        </w:rPr>
        <w:t>09h00 às 16h00,</w:t>
      </w:r>
      <w:r>
        <w:rPr>
          <w:rFonts w:hint="default" w:ascii="Arial" w:hAnsi="Arial" w:cs="Arial"/>
          <w:bCs/>
          <w:iCs/>
          <w:lang w:val="pt-BR"/>
        </w:rPr>
        <w:t xml:space="preserve"> respeitado o intervalo de almoço entre </w:t>
      </w:r>
      <w:r>
        <w:rPr>
          <w:rFonts w:hint="default" w:ascii="Arial" w:hAnsi="Arial" w:cs="Arial"/>
          <w:b/>
          <w:bCs w:val="0"/>
          <w:iCs/>
          <w:lang w:val="pt-BR"/>
        </w:rPr>
        <w:t>12h00 e 13h00.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3.1.3 Caso não seja possível a entrega na data assinalada, a empresa deverá comunicar formalmente as razões respectivas com </w:t>
      </w:r>
      <w:r>
        <w:rPr>
          <w:rFonts w:hint="default" w:ascii="Arial" w:hAnsi="Arial" w:cs="Arial"/>
          <w:b/>
          <w:bCs w:val="0"/>
          <w:iCs/>
          <w:lang w:val="pt-BR"/>
        </w:rPr>
        <w:t>antecedência mínima de 03 (três) dias</w:t>
      </w:r>
      <w:r>
        <w:rPr>
          <w:rFonts w:hint="default" w:ascii="Arial" w:hAnsi="Arial" w:cs="Arial"/>
          <w:bCs/>
          <w:iCs/>
          <w:lang w:val="pt-BR"/>
        </w:rPr>
        <w:t xml:space="preserve">, para que eventual pleito de prorrogação de prazo seja analisado, ressalvadas as hipóteses de </w:t>
      </w:r>
      <w:r>
        <w:rPr>
          <w:rFonts w:hint="default" w:ascii="Arial" w:hAnsi="Arial" w:cs="Arial"/>
          <w:b/>
          <w:bCs w:val="0"/>
          <w:iCs/>
          <w:lang w:val="pt-BR"/>
        </w:rPr>
        <w:t>caso fortuito ou força maior</w:t>
      </w:r>
      <w:r>
        <w:rPr>
          <w:rFonts w:hint="default" w:ascii="Arial" w:hAnsi="Arial" w:cs="Arial"/>
          <w:bCs/>
          <w:iCs/>
          <w:lang w:val="pt-BR"/>
        </w:rPr>
        <w:t>, devidamente justificadas.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3.1.4 Os bens serão recebidos </w:t>
      </w:r>
      <w:r>
        <w:rPr>
          <w:rFonts w:hint="default" w:ascii="Arial" w:hAnsi="Arial" w:cs="Arial"/>
          <w:b/>
          <w:bCs w:val="0"/>
          <w:iCs/>
          <w:lang w:val="pt-BR"/>
        </w:rPr>
        <w:t>provisoriamente</w:t>
      </w:r>
      <w:r>
        <w:rPr>
          <w:rFonts w:hint="default" w:ascii="Arial" w:hAnsi="Arial" w:cs="Arial"/>
          <w:bCs/>
          <w:iCs/>
          <w:lang w:val="pt-BR"/>
        </w:rPr>
        <w:t xml:space="preserve">, de forma sumária, no prazo de </w:t>
      </w:r>
      <w:r>
        <w:rPr>
          <w:rFonts w:hint="default" w:ascii="Arial" w:hAnsi="Arial" w:cs="Arial"/>
          <w:b/>
          <w:bCs w:val="0"/>
          <w:iCs/>
          <w:lang w:val="pt-BR"/>
        </w:rPr>
        <w:t>02 (dois) dias úteis</w:t>
      </w:r>
      <w:r>
        <w:rPr>
          <w:rFonts w:hint="default" w:ascii="Arial" w:hAnsi="Arial" w:cs="Arial"/>
          <w:bCs/>
          <w:iCs/>
          <w:lang w:val="pt-BR"/>
        </w:rPr>
        <w:t>, pelo(a) responsável pelo acompanhamento e fiscalização do contrato, para efeito de posterior verificação de sua conformidade com as especificações constantes no Termo de Referência e na proposta apresentada.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3.1.5 Constatada qualquer desconformidade com as especificações estabelecidas no Termo de Referência ou na proposta, os bens poderão ser </w:t>
      </w:r>
      <w:r>
        <w:rPr>
          <w:rFonts w:hint="default" w:ascii="Arial" w:hAnsi="Arial" w:cs="Arial"/>
          <w:b/>
          <w:bCs w:val="0"/>
          <w:iCs/>
          <w:lang w:val="pt-BR"/>
        </w:rPr>
        <w:t>rejeitados, no todo ou em parte</w:t>
      </w:r>
      <w:r>
        <w:rPr>
          <w:rFonts w:hint="default" w:ascii="Arial" w:hAnsi="Arial" w:cs="Arial"/>
          <w:bCs/>
          <w:iCs/>
          <w:lang w:val="pt-BR"/>
        </w:rPr>
        <w:t xml:space="preserve">, devendo a Contratada proceder à </w:t>
      </w:r>
      <w:r>
        <w:rPr>
          <w:rFonts w:hint="default" w:ascii="Arial" w:hAnsi="Arial" w:cs="Arial"/>
          <w:b/>
          <w:bCs w:val="0"/>
          <w:iCs/>
          <w:lang w:val="pt-BR"/>
        </w:rPr>
        <w:t>substituição</w:t>
      </w:r>
      <w:r>
        <w:rPr>
          <w:rFonts w:hint="default" w:ascii="Arial" w:hAnsi="Arial" w:cs="Arial"/>
          <w:bCs/>
          <w:iCs/>
          <w:lang w:val="pt-BR"/>
        </w:rPr>
        <w:t xml:space="preserve"> no prazo de </w:t>
      </w:r>
      <w:r>
        <w:rPr>
          <w:rFonts w:hint="default" w:ascii="Arial" w:hAnsi="Arial" w:cs="Arial"/>
          <w:b/>
          <w:bCs w:val="0"/>
          <w:iCs/>
          <w:lang w:val="pt-BR"/>
        </w:rPr>
        <w:t>03 (três) dias</w:t>
      </w:r>
      <w:r>
        <w:rPr>
          <w:rFonts w:hint="default" w:ascii="Arial" w:hAnsi="Arial" w:cs="Arial"/>
          <w:bCs/>
          <w:iCs/>
          <w:lang w:val="pt-BR"/>
        </w:rPr>
        <w:t xml:space="preserve">, contado da notificação formal, </w:t>
      </w:r>
      <w:r>
        <w:rPr>
          <w:rFonts w:hint="default" w:ascii="Arial" w:hAnsi="Arial" w:cs="Arial"/>
          <w:b/>
          <w:bCs w:val="0"/>
          <w:iCs/>
          <w:lang w:val="pt-BR"/>
        </w:rPr>
        <w:t>às suas expensas,</w:t>
      </w:r>
      <w:r>
        <w:rPr>
          <w:rFonts w:hint="default" w:ascii="Arial" w:hAnsi="Arial" w:cs="Arial"/>
          <w:bCs/>
          <w:iCs/>
          <w:lang w:val="pt-BR"/>
        </w:rPr>
        <w:t xml:space="preserve"> sem prejuízo da aplicação das sanções administrativas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3.1.6 Na hipótese de a verificação a que se refere o subitem anterior não ser procedida dentro do prazo fixado, reputar-se-á como realizada, </w:t>
      </w:r>
      <w:r>
        <w:rPr>
          <w:rFonts w:hint="default" w:ascii="Arial" w:hAnsi="Arial" w:cs="Arial"/>
          <w:b/>
          <w:bCs w:val="0"/>
          <w:iCs/>
          <w:lang w:val="pt-BR"/>
        </w:rPr>
        <w:t>consumando-se o recebimento definitivo</w:t>
      </w:r>
      <w:r>
        <w:rPr>
          <w:rFonts w:hint="default" w:ascii="Arial" w:hAnsi="Arial" w:cs="Arial"/>
          <w:bCs/>
          <w:iCs/>
          <w:lang w:val="pt-BR"/>
        </w:rPr>
        <w:t xml:space="preserve"> no dia do esgotamento 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O recebimento</w:t>
      </w:r>
      <w:r>
        <w:rPr>
          <w:rFonts w:hint="default" w:ascii="Arial" w:hAnsi="Arial" w:cs="Arial"/>
          <w:b/>
          <w:bCs w:val="0"/>
          <w:iCs/>
          <w:lang w:val="pt-BR"/>
        </w:rPr>
        <w:t xml:space="preserve"> definitivo</w:t>
      </w:r>
      <w:r>
        <w:rPr>
          <w:rFonts w:hint="default" w:ascii="Arial" w:hAnsi="Arial" w:cs="Arial"/>
          <w:bCs/>
          <w:iCs/>
          <w:lang w:val="pt-BR"/>
        </w:rPr>
        <w:t xml:space="preserve"> dos bens ocorrerá no prazo de</w:t>
      </w:r>
      <w:r>
        <w:rPr>
          <w:rFonts w:hint="default" w:ascii="Arial" w:hAnsi="Arial" w:cs="Arial"/>
          <w:b/>
          <w:bCs w:val="0"/>
          <w:iCs/>
          <w:lang w:val="pt-BR"/>
        </w:rPr>
        <w:t xml:space="preserve"> 02 (dois) dias úteis</w:t>
      </w:r>
      <w:r>
        <w:rPr>
          <w:rFonts w:hint="default" w:ascii="Arial" w:hAnsi="Arial" w:cs="Arial"/>
          <w:bCs/>
          <w:iCs/>
          <w:lang w:val="pt-BR"/>
        </w:rPr>
        <w:t>, contados a partir do recebimento provisório, após a verificação da qualidade e da quantidade do material entregue e consequente aceitação pela Administração, mediante lavratura de termo próprio.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Na hipótese de a verificação prevista no item anterior não ser realizada dentro do prazo fixado, considerar-se-á automaticamente efetivado o recebimento definitivo ao término do referido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3.1.9 O recebimento provisório ou definitivo </w:t>
      </w:r>
      <w:r>
        <w:rPr>
          <w:rFonts w:hint="default" w:ascii="Arial" w:hAnsi="Arial" w:cs="Arial"/>
          <w:b/>
          <w:bCs w:val="0"/>
          <w:iCs/>
          <w:lang w:val="pt-BR"/>
        </w:rPr>
        <w:t>não exclui nem reduz</w:t>
      </w:r>
      <w:r>
        <w:rPr>
          <w:rFonts w:hint="default" w:ascii="Arial" w:hAnsi="Arial" w:cs="Arial"/>
          <w:bCs/>
          <w:iCs/>
          <w:lang w:val="pt-BR"/>
        </w:rPr>
        <w:t xml:space="preserve"> a responsabilidade civil da Contratada pela solidez, segurança e adequação dos bens fornecidos, tampouco afasta a sua responsabilidade ético-profissional pela perfeita execução do objeto contratado, nos termos da legislação vigente.</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XXIII, alínea “f”, da Lei nº 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3.2.1 O contrato deverá ser executado </w:t>
      </w:r>
      <w:r>
        <w:rPr>
          <w:rFonts w:hint="default" w:ascii="Arial" w:hAnsi="Arial" w:cs="Arial"/>
          <w:b/>
          <w:bCs w:val="0"/>
          <w:iCs/>
          <w:lang w:val="pt-BR"/>
        </w:rPr>
        <w:t>fielmente pelas partes</w:t>
      </w:r>
      <w:r>
        <w:rPr>
          <w:rFonts w:hint="default" w:ascii="Arial" w:hAnsi="Arial" w:cs="Arial"/>
          <w:bCs/>
          <w:iCs/>
          <w:lang w:val="pt-BR"/>
        </w:rPr>
        <w:t xml:space="preserve">, de acordo com as cláusulas avençadas, as disposições do Termo de Referência e as normas da </w:t>
      </w:r>
      <w:r>
        <w:rPr>
          <w:rFonts w:hint="default" w:ascii="Arial" w:hAnsi="Arial" w:cs="Arial"/>
          <w:b/>
          <w:bCs w:val="0"/>
          <w:iCs/>
          <w:lang w:val="pt-BR"/>
        </w:rPr>
        <w:t>Lei nº 14.133/2021</w:t>
      </w:r>
      <w:r>
        <w:rPr>
          <w:rFonts w:hint="default" w:ascii="Arial" w:hAnsi="Arial" w:cs="Arial"/>
          <w:bCs/>
          <w:iCs/>
          <w:lang w:val="pt-BR"/>
        </w:rPr>
        <w:t xml:space="preserve">, respondendo cada parte pelas consequências de sua </w:t>
      </w:r>
      <w:r>
        <w:rPr>
          <w:rFonts w:hint="default" w:ascii="Arial" w:hAnsi="Arial" w:cs="Arial"/>
          <w:b/>
          <w:bCs w:val="0"/>
          <w:iCs/>
          <w:lang w:val="pt-BR"/>
        </w:rPr>
        <w:t>inexecução total ou parcial,</w:t>
      </w:r>
      <w:r>
        <w:rPr>
          <w:rFonts w:hint="default" w:ascii="Arial" w:hAnsi="Arial" w:cs="Arial"/>
          <w:bCs/>
          <w:iCs/>
          <w:lang w:val="pt-BR"/>
        </w:rPr>
        <w:t xml:space="preserve"> nos termos da legislação vigente.</w:t>
      </w:r>
    </w:p>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Cs/>
          <w:iCs/>
          <w:lang w:val="pt-BR"/>
        </w:rPr>
        <w:t xml:space="preserve">3.2.2 Na hipótese de impedimento, ordem de paralisação ou suspensão da execução contratual por motivo imputável à Administração, o cronograma de execução será </w:t>
      </w:r>
      <w:r>
        <w:rPr>
          <w:rFonts w:hint="default" w:ascii="Arial" w:hAnsi="Arial" w:cs="Arial"/>
          <w:b/>
          <w:bCs w:val="0"/>
          <w:iCs/>
          <w:lang w:val="pt-BR"/>
        </w:rPr>
        <w:t>automaticamente prorrogado</w:t>
      </w:r>
      <w:r>
        <w:rPr>
          <w:rFonts w:hint="default" w:ascii="Arial" w:hAnsi="Arial" w:cs="Arial"/>
          <w:bCs/>
          <w:iCs/>
          <w:lang w:val="pt-BR"/>
        </w:rPr>
        <w:t xml:space="preserve"> pelo tempo correspondente, mediante simples apostilamento, conforme dispõe o </w:t>
      </w:r>
      <w:r>
        <w:rPr>
          <w:rFonts w:hint="default" w:ascii="Arial" w:hAnsi="Arial" w:cs="Arial"/>
          <w:b/>
          <w:bCs w:val="0"/>
          <w:iCs/>
          <w:lang w:val="pt-BR"/>
        </w:rPr>
        <w:t>art. 115, §5º, da Lei nº 14.133/2021.</w:t>
      </w:r>
      <w:bookmarkStart w:id="3" w:name="6j9y8mptl4n7"/>
      <w:bookmarkEnd w:id="3"/>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3.2.3 A execução do contrato será </w:t>
      </w:r>
      <w:r>
        <w:rPr>
          <w:rFonts w:hint="default" w:ascii="Arial" w:hAnsi="Arial" w:cs="Arial"/>
          <w:b/>
          <w:bCs w:val="0"/>
          <w:iCs/>
          <w:lang w:val="pt-BR"/>
        </w:rPr>
        <w:t>acompanhada e fiscalizada</w:t>
      </w:r>
      <w:r>
        <w:rPr>
          <w:rFonts w:hint="default" w:ascii="Arial" w:hAnsi="Arial" w:cs="Arial"/>
          <w:bCs/>
          <w:iCs/>
          <w:lang w:val="pt-BR"/>
        </w:rPr>
        <w:t xml:space="preserve"> por representante(s) da Administração, designado(s) formalmente, ou por seus respectivos substitutos, em conformidade com o</w:t>
      </w:r>
      <w:r>
        <w:rPr>
          <w:rFonts w:hint="default" w:ascii="Arial" w:hAnsi="Arial" w:cs="Arial"/>
          <w:b/>
          <w:bCs w:val="0"/>
          <w:iCs/>
          <w:lang w:val="pt-BR"/>
        </w:rPr>
        <w:t xml:space="preserve"> art. 117 da Lei nº 14.133/2021.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3.2.3.1 O fiscal do contrato anotará em registro próprio todas as ocorrências relacionadas à execução do contrato, determinando o que for necessário para a regularização das faltas ou dos defeitos observados (Lei nº 14.133/2021, art. 117, §1º).</w:t>
      </w:r>
      <w:bookmarkStart w:id="4" w:name="ygfdqifkdnzf"/>
      <w:bookmarkEnd w:id="4"/>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3.2.3.2 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bookmarkStart w:id="5" w:name="72v0xy24o9i9"/>
      <w:bookmarkEnd w:id="5"/>
      <w:bookmarkStart w:id="6" w:name="yzyziiffe7rt"/>
      <w:bookmarkEnd w:id="6"/>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A Contratada será responsável pelos encargos trabalhistas, previdenciários, fiscais e comerciais resultantes da execução do contrato, nos termos do art. 121, caput, da Lei nº 14.133/2021.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A inadimplência do contratado em relação aos encargos trabalhistas, fiscais e comerciais não transferirá à Administração a responsabilidade pelo seu pagamento e não poderá onerar o objeto do contrato (Lei nº 14.133/2021, art. 121, §1º).</w:t>
      </w:r>
      <w:bookmarkStart w:id="7" w:name="db6uakt12jtf"/>
      <w:bookmarkEnd w:id="7"/>
      <w:bookmarkStart w:id="8" w:name="npybdkgventj"/>
      <w:bookmarkEnd w:id="8"/>
      <w:bookmarkStart w:id="9" w:name="5720l6hau2tr"/>
      <w:bookmarkEnd w:id="9"/>
      <w:bookmarkStart w:id="10" w:name="hhgzkhdpwzp1"/>
      <w:bookmarkEnd w:id="10"/>
      <w:bookmarkStart w:id="11" w:name="21t2ahmvbfi1"/>
      <w:bookmarkEnd w:id="11"/>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3.2.6 As comunicações entre o órgão ou entidade contratante e a Contratada deverão ser realizadas preferencialmente por escrito, sempre que o ato exigir formalidade, admitindo-se, excepcionalmente, o uso de meio eletrônico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3.2.7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3.2.10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3.2.12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3.2.13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As Notas Fiscais deverão ser emitidas em nome de: </w:t>
      </w:r>
      <w:r>
        <w:rPr>
          <w:rFonts w:hint="default" w:ascii="Arial" w:hAnsi="Arial" w:cs="Arial" w:eastAsiaTheme="majorEastAsia"/>
          <w:b/>
          <w:bCs/>
          <w:lang w:val="en-US" w:eastAsia="pt-BR"/>
        </w:rPr>
        <w:t>FUNDO MUNICIPAL DE SAÚDE, CNPJ: 11.399.442/0001-79 - AVENIDA ALBERTO BRAUNE, Nº 224, SALA 221, CENTRO, NOVA FRIBURGO/RJ, CEP 28613-001.</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w:t>
      </w:r>
      <w:r>
        <w:rPr>
          <w:rFonts w:hint="default" w:ascii="Arial" w:hAnsi="Arial" w:cs="Arial" w:eastAsiaTheme="majorEastAsia"/>
          <w:b w:val="0"/>
          <w:bCs w:val="0"/>
          <w:u w:val="single"/>
          <w:lang w:val="en-US" w:eastAsia="pt-BR"/>
        </w:rPr>
        <w:t>Da liquidação da despesa:</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6.2.1 A liquidação da despesa será realizada pela </w:t>
      </w:r>
      <w:r>
        <w:rPr>
          <w:rFonts w:hint="default" w:ascii="Arial" w:hAnsi="Arial" w:cs="Arial" w:eastAsiaTheme="majorEastAsia"/>
          <w:b/>
          <w:bCs/>
          <w:lang w:val="en-US" w:eastAsia="pt-BR"/>
        </w:rPr>
        <w:t>Secretaria Municipal de Finanças, Planejamento, Desenvolvimento Econômico e Gestão</w:t>
      </w:r>
      <w:r>
        <w:rPr>
          <w:rFonts w:hint="default" w:ascii="Arial" w:hAnsi="Arial" w:cs="Arial" w:eastAsiaTheme="majorEastAsia"/>
          <w:b w:val="0"/>
          <w:bCs w:val="0"/>
          <w:lang w:val="en-US" w:eastAsia="pt-BR"/>
        </w:rPr>
        <w:t xml:space="preserve">, após a comprovação do cumprimento integral das obrigações assumidas pela Contratada, em conformidade com as disposições do Termo de Referência e em observância ao </w:t>
      </w:r>
      <w:r>
        <w:rPr>
          <w:rFonts w:hint="default" w:ascii="Arial" w:hAnsi="Arial" w:cs="Arial" w:eastAsiaTheme="majorEastAsia"/>
          <w:b/>
          <w:bCs/>
          <w:lang w:val="en-US" w:eastAsia="pt-BR"/>
        </w:rPr>
        <w:t>Decreto Municipal nº 2.493, de 07 de novembro de 2023.</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6.2.2 No momento da emissão do documento fiscal e da liquidação da despesa, deverão ser observados os dispositivos do </w:t>
      </w:r>
      <w:r>
        <w:rPr>
          <w:rFonts w:hint="default" w:ascii="Arial" w:hAnsi="Arial" w:cs="Arial" w:eastAsiaTheme="majorEastAsia"/>
          <w:b/>
          <w:bCs/>
          <w:lang w:val="en-US" w:eastAsia="pt-BR"/>
        </w:rPr>
        <w:t>Decreto Municipal nº 2.480/2023</w:t>
      </w:r>
      <w:r>
        <w:rPr>
          <w:rFonts w:hint="default" w:ascii="Arial" w:hAnsi="Arial" w:cs="Arial" w:eastAsiaTheme="majorEastAsia"/>
          <w:b w:val="0"/>
          <w:bCs w:val="0"/>
          <w:lang w:val="en-US" w:eastAsia="pt-BR"/>
        </w:rPr>
        <w:t xml:space="preserve">, que dispõe sobre a arrecadação do </w:t>
      </w:r>
      <w:r>
        <w:rPr>
          <w:rFonts w:hint="default" w:ascii="Arial" w:hAnsi="Arial" w:cs="Arial" w:eastAsiaTheme="majorEastAsia"/>
          <w:b/>
          <w:bCs/>
          <w:lang w:val="en-US" w:eastAsia="pt-BR"/>
        </w:rPr>
        <w:t>Imposto de Renda incidente na fonte</w:t>
      </w:r>
      <w:r>
        <w:rPr>
          <w:rFonts w:hint="default" w:ascii="Arial" w:hAnsi="Arial" w:cs="Arial" w:eastAsiaTheme="majorEastAsia"/>
          <w:b w:val="0"/>
          <w:bCs w:val="0"/>
          <w:lang w:val="en-US" w:eastAsia="pt-BR"/>
        </w:rPr>
        <w:t xml:space="preserve">, nos termos do art. 157, inciso I, da Constituição Federal, aplicável aos pagamentos efetuados a pessoas jurídicas por órgãos, Fundos e Fundações instituídas e mantidas pelo Município, bem como as regras previstas no </w:t>
      </w:r>
      <w:r>
        <w:rPr>
          <w:rFonts w:hint="default" w:ascii="Arial" w:hAnsi="Arial" w:cs="Arial" w:eastAsiaTheme="majorEastAsia"/>
          <w:b/>
          <w:bCs/>
          <w:lang w:val="en-US" w:eastAsia="pt-BR"/>
        </w:rPr>
        <w:t>art. 64 da Lei Federal nº 9.430, de 27 de dezembro de 1996</w:t>
      </w:r>
      <w:r>
        <w:rPr>
          <w:rFonts w:hint="default" w:ascii="Arial" w:hAnsi="Arial" w:cs="Arial" w:eastAsiaTheme="majorEastAsia"/>
          <w:b w:val="0"/>
          <w:bCs w:val="0"/>
          <w:lang w:val="en-US" w:eastAsia="pt-BR"/>
        </w:rPr>
        <w:t xml:space="preserve">, e na </w:t>
      </w:r>
      <w:r>
        <w:rPr>
          <w:rFonts w:hint="default" w:ascii="Arial" w:hAnsi="Arial" w:cs="Arial" w:eastAsiaTheme="majorEastAsia"/>
          <w:b/>
          <w:bCs/>
          <w:lang w:val="en-US" w:eastAsia="pt-BR"/>
        </w:rPr>
        <w:t>Instrução Normativa RFB nº 1.234, de 11 de janeiro de 2012,</w:t>
      </w:r>
      <w:r>
        <w:rPr>
          <w:rFonts w:hint="default" w:ascii="Arial" w:hAnsi="Arial" w:cs="Arial" w:eastAsiaTheme="majorEastAsia"/>
          <w:b w:val="0"/>
          <w:bCs w:val="0"/>
          <w:lang w:val="en-US" w:eastAsia="pt-BR"/>
        </w:rPr>
        <w:t xml:space="preserve"> quando cabíveis.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 </w:t>
      </w:r>
      <w:r>
        <w:rPr>
          <w:rFonts w:hint="default" w:ascii="Arial" w:hAnsi="Arial" w:cs="Arial" w:eastAsiaTheme="majorEastAsia"/>
          <w:b w:val="0"/>
          <w:bCs w:val="0"/>
          <w:u w:val="single"/>
          <w:lang w:val="en-US" w:eastAsia="pt-BR"/>
        </w:rPr>
        <w:t>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w:t>
      </w:r>
      <w:bookmarkStart w:id="13" w:name="_GoBack"/>
      <w:bookmarkEnd w:id="13"/>
      <w:r>
        <w:rPr>
          <w:rFonts w:hint="default" w:ascii="Arial" w:hAnsi="Arial" w:cs="Arial" w:eastAsiaTheme="majorEastAsia"/>
          <w:b w:val="0"/>
          <w:bCs w:val="0"/>
          <w:lang w:val="en-US" w:eastAsia="pt-BR"/>
        </w:rPr>
        <w:t>me estabelecido no Decreto Municipal nº 2493, de 07 de novembro de 2023, desde que as certidões listadas abaixo estejam dentro da validade:</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6.3.2 A Nota Fiscal deverá conter, obrigatoriamente, a identificação da instituição bancária, o número da agência e o número da conta corrente, para viabilizar o pagamento do valor devido pela Contratante.</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hipótese de rejeição da(s) Nota(s) Fiscal(is), motivada por erro formal ou incorreção, o prazo para pagamento será interrompido, passando a ser contado a partir da data de sua regular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Nos termos do</w:t>
      </w:r>
      <w:r>
        <w:rPr>
          <w:rFonts w:hint="default" w:ascii="Arial" w:hAnsi="Arial" w:cs="Arial" w:eastAsiaTheme="majorEastAsia"/>
          <w:b/>
          <w:bCs/>
          <w:lang w:val="en-US" w:eastAsia="pt-BR"/>
        </w:rPr>
        <w:t xml:space="preserve"> art. 45 da Lei nº 9.784, de 29 de janeiro de 1999</w:t>
      </w:r>
      <w:r>
        <w:rPr>
          <w:rFonts w:hint="default" w:ascii="Arial" w:hAnsi="Arial" w:cs="Arial" w:eastAsiaTheme="majorEastAsia"/>
          <w:b w:val="0"/>
          <w:bCs w:val="0"/>
          <w:lang w:val="en-US" w:eastAsia="pt-BR"/>
        </w:rPr>
        <w:t xml:space="preserve">, a Administração Pública poderá, </w:t>
      </w:r>
      <w:r>
        <w:rPr>
          <w:rFonts w:hint="default" w:ascii="Arial" w:hAnsi="Arial" w:cs="Arial" w:eastAsiaTheme="majorEastAsia"/>
          <w:b/>
          <w:bCs/>
          <w:lang w:val="en-US" w:eastAsia="pt-BR"/>
        </w:rPr>
        <w:t>motivadamente e sem prévia manifestação do interessado</w:t>
      </w:r>
      <w:r>
        <w:rPr>
          <w:rFonts w:hint="default" w:ascii="Arial" w:hAnsi="Arial" w:cs="Arial" w:eastAsiaTheme="majorEastAsia"/>
          <w:b w:val="0"/>
          <w:bCs w:val="0"/>
          <w:lang w:val="en-US" w:eastAsia="pt-BR"/>
        </w:rPr>
        <w:t xml:space="preserve">, adotar providências acauteladoras, inclusive a </w:t>
      </w:r>
      <w:r>
        <w:rPr>
          <w:rFonts w:hint="default" w:ascii="Arial" w:hAnsi="Arial" w:cs="Arial" w:eastAsiaTheme="majorEastAsia"/>
          <w:b/>
          <w:bCs/>
          <w:lang w:val="en-US" w:eastAsia="pt-BR"/>
        </w:rPr>
        <w:t>retenção do pagamento</w:t>
      </w:r>
      <w:r>
        <w:rPr>
          <w:rFonts w:hint="default" w:ascii="Arial" w:hAnsi="Arial" w:cs="Arial" w:eastAsiaTheme="majorEastAsia"/>
          <w:b w:val="0"/>
          <w:bCs w:val="0"/>
          <w:lang w:val="en-US" w:eastAsia="pt-BR"/>
        </w:rPr>
        <w:t>, quando houver risco iminente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2" w:name="_Hlk114504069"/>
      <w:r>
        <w:rPr>
          <w:rStyle w:val="9"/>
          <w:rFonts w:ascii="Arial" w:hAnsi="Arial" w:eastAsia="Arial" w:cs="Arial"/>
        </w:rPr>
        <w:t>Lei nº 14.133, de 2021</w:t>
      </w:r>
      <w:bookmarkEnd w:id="12"/>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13.1 As despesas decorrentes da presente contratação correrão à conta de recursos específicos consignados no Orçamento do Município, na forma abaixo:</w:t>
      </w:r>
    </w:p>
    <w:tbl>
      <w:tblPr>
        <w:tblStyle w:val="6"/>
        <w:tblW w:w="9059" w:type="dxa"/>
        <w:jc w:val="center"/>
        <w:tblLayout w:type="fixed"/>
        <w:tblCellMar>
          <w:top w:w="0" w:type="dxa"/>
          <w:left w:w="10" w:type="dxa"/>
          <w:bottom w:w="0" w:type="dxa"/>
          <w:right w:w="10" w:type="dxa"/>
        </w:tblCellMar>
      </w:tblPr>
      <w:tblGrid>
        <w:gridCol w:w="1974"/>
        <w:gridCol w:w="3122"/>
        <w:gridCol w:w="1827"/>
        <w:gridCol w:w="2136"/>
      </w:tblGrid>
      <w:tr>
        <w:tblPrEx>
          <w:tblCellMar>
            <w:top w:w="0" w:type="dxa"/>
            <w:left w:w="10" w:type="dxa"/>
            <w:bottom w:w="0" w:type="dxa"/>
            <w:right w:w="10" w:type="dxa"/>
          </w:tblCellMar>
        </w:tblPrEx>
        <w:trPr>
          <w:jc w:val="center"/>
        </w:trPr>
        <w:tc>
          <w:tcPr>
            <w:tcW w:w="19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Órgão/Unidade Orçamentária</w:t>
            </w:r>
          </w:p>
        </w:tc>
        <w:tc>
          <w:tcPr>
            <w:tcW w:w="3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Programa de Trabalho</w:t>
            </w:r>
          </w:p>
        </w:tc>
        <w:tc>
          <w:tcPr>
            <w:tcW w:w="1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Fonte de Recursos</w:t>
            </w:r>
          </w:p>
        </w:tc>
        <w:tc>
          <w:tcPr>
            <w:tcW w:w="21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Natureza da Despesa</w:t>
            </w:r>
          </w:p>
        </w:tc>
      </w:tr>
      <w:tr>
        <w:tblPrEx>
          <w:tblCellMar>
            <w:top w:w="0" w:type="dxa"/>
            <w:left w:w="10" w:type="dxa"/>
            <w:bottom w:w="0" w:type="dxa"/>
            <w:right w:w="10" w:type="dxa"/>
          </w:tblCellMar>
        </w:tblPrEx>
        <w:trPr>
          <w:jc w:val="center"/>
        </w:trPr>
        <w:tc>
          <w:tcPr>
            <w:tcW w:w="19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Hospital Municipal Raul Sertã</w:t>
            </w:r>
          </w:p>
        </w:tc>
        <w:tc>
          <w:tcPr>
            <w:tcW w:w="3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30001.1030200852.202</w:t>
            </w:r>
          </w:p>
        </w:tc>
        <w:tc>
          <w:tcPr>
            <w:tcW w:w="1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1600</w:t>
            </w:r>
          </w:p>
        </w:tc>
        <w:tc>
          <w:tcPr>
            <w:tcW w:w="21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33.90.30-11</w:t>
            </w:r>
          </w:p>
        </w:tc>
      </w:tr>
    </w:tbl>
    <w:p>
      <w:pPr>
        <w:pStyle w:val="34"/>
        <w:numPr>
          <w:ilvl w:val="0"/>
          <w:numId w:val="0"/>
        </w:numPr>
        <w:tabs>
          <w:tab w:val="left" w:pos="284"/>
          <w:tab w:val="left" w:pos="993"/>
        </w:tabs>
        <w:spacing w:line="276" w:lineRule="auto"/>
        <w:ind w:leftChars="0"/>
        <w:rPr>
          <w:rFonts w:hint="default" w:ascii="Arial" w:hAnsi="Arial" w:cs="Arial"/>
          <w:sz w:val="22"/>
          <w:szCs w:val="22"/>
          <w:lang w:val="pt-BR"/>
        </w:rPr>
      </w:pPr>
      <w:r>
        <w:rPr>
          <w:rFonts w:hint="default" w:ascii="Arial" w:hAnsi="Arial" w:cs="Arial"/>
          <w:b w:val="0"/>
          <w:bCs w:val="0"/>
          <w:sz w:val="22"/>
          <w:szCs w:val="22"/>
          <w:lang w:val="pt-BR"/>
        </w:rPr>
        <w:t xml:space="preserve">13.2 A dotação relativa aos exercícios financeiros subsequentes será indicada após aprovação da Lei Orçamentária respectiva e liberação dos créditos correspondentes, mediante apostilamento.     </w:t>
      </w:r>
      <w:r>
        <w:rPr>
          <w:rFonts w:hint="default" w:ascii="Arial" w:hAnsi="Arial" w:cs="Arial"/>
          <w:sz w:val="22"/>
          <w:szCs w:val="22"/>
          <w:lang w:val="pt-BR"/>
        </w:rPr>
        <w:t xml:space="preserve">  </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bCs/>
        </w:rPr>
      </w:pPr>
      <w:r>
        <w:rPr>
          <w:rFonts w:ascii="Arial" w:hAnsi="Arial" w:cs="Arial"/>
        </w:rPr>
        <w:t>...........................................,  .......... de.......................................... de 2026.</w:t>
      </w: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0" w:leftChars="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8685F9B"/>
    <w:rsid w:val="0BD14E6C"/>
    <w:rsid w:val="0CCC53E3"/>
    <w:rsid w:val="11CC2ACE"/>
    <w:rsid w:val="1204230B"/>
    <w:rsid w:val="1986463F"/>
    <w:rsid w:val="1ADD0B64"/>
    <w:rsid w:val="1AF72D93"/>
    <w:rsid w:val="1B89593D"/>
    <w:rsid w:val="1C1521A3"/>
    <w:rsid w:val="1D3D1481"/>
    <w:rsid w:val="1FD12E07"/>
    <w:rsid w:val="225C36FB"/>
    <w:rsid w:val="25CA2E9A"/>
    <w:rsid w:val="2A0528E0"/>
    <w:rsid w:val="311C2419"/>
    <w:rsid w:val="39666672"/>
    <w:rsid w:val="3B025A47"/>
    <w:rsid w:val="3C4D19A5"/>
    <w:rsid w:val="3C9967A2"/>
    <w:rsid w:val="3D0C27DF"/>
    <w:rsid w:val="3D361311"/>
    <w:rsid w:val="451C77AA"/>
    <w:rsid w:val="475A7F85"/>
    <w:rsid w:val="4793263C"/>
    <w:rsid w:val="501F24D5"/>
    <w:rsid w:val="560861E5"/>
    <w:rsid w:val="5948783D"/>
    <w:rsid w:val="5C237373"/>
    <w:rsid w:val="623C6820"/>
    <w:rsid w:val="655965EF"/>
    <w:rsid w:val="681965EB"/>
    <w:rsid w:val="68532C20"/>
    <w:rsid w:val="6FD5493C"/>
    <w:rsid w:val="708A03B6"/>
    <w:rsid w:val="749B1192"/>
    <w:rsid w:val="760767A8"/>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10</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2026-05-27T19:21:25Z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